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о результатах проведения контрольного мероприятия при осуществлении  администрацией города Струнино полномочий по внутреннему муниципальному финансовому контролю от 20.12.2019 №1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2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Принявший орган: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администрация города Струнино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      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В соответствии с  Постановлением администрации города Струнино от 31.08.2016 № 537 «Об утверждении  порядка осуществления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бюджетным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отделом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МУ «УЖН»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города Струнино полномочий по внутреннему муниципальному финансовому контролю», на основании Распоряжения администрации города Струнино от 25.12.2018 № 176-р «Об утверждении Плана проведения контрольных мероприятий по осуществлению внутреннего муниципального финансового контроля в  МО город Струнино на 2019 год», распоряжения администрации города от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16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12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.2019г   №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132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-р  «О проведении контрольного мероприятия по осуществлению внутреннего муниципального финансового контроля в МО город Струнино в 2019 году» бюджетным отделом проведено следующее контрольное мероприятие:</w:t>
      </w:r>
    </w:p>
    <w:p>
      <w:pPr>
        <w:pStyle w:val="Normal"/>
        <w:shd w:val="clear" w:color="auto" w:fill="FFFFFF"/>
        <w:spacing w:lineRule="atLeast" w:line="375" w:before="0" w:after="0"/>
        <w:rPr>
          <w:rFonts w:ascii="Tahoma" w:hAnsi="Tahoma" w:eastAsia="Times New Roman" w:cs="Tahoma"/>
          <w:color w:val="292929"/>
          <w:sz w:val="27"/>
          <w:szCs w:val="27"/>
          <w:lang w:eastAsia="ru-RU"/>
        </w:rPr>
      </w:pPr>
      <w:r>
        <w:rPr>
          <w:rFonts w:eastAsia="Times New Roman" w:cs="Tahoma" w:ascii="Tahoma" w:hAnsi="Tahoma"/>
          <w:color w:val="292929"/>
          <w:sz w:val="27"/>
          <w:szCs w:val="27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Инвентаризация нефинансовых активов.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Объект внутреннего муниципального финансового контроля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МБКДУ «Струнинский дом культуры».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Метод проведения контрольного мероприятия –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проверка.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Способ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- выборочный.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Период проведения проверки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 – 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16-20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декабря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201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 года.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При проведении проверки осуществлены контрольные действия по документальному изучению документов, касающихся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проведения инвентаризации нефинансовых активов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В рамках проверки использовались следующие документы: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strike/>
        </w:rPr>
      </w:pPr>
      <w:r>
        <w:rPr>
          <w:rFonts w:eastAsia="Times New Roman" w:cs="Times New Roman" w:ascii="Times New Roman" w:hAnsi="Times New Roman"/>
          <w:strike w:val="false"/>
          <w:dstrike w:val="false"/>
          <w:color w:val="292929"/>
          <w:sz w:val="28"/>
          <w:szCs w:val="28"/>
          <w:lang w:eastAsia="ru-RU"/>
        </w:rPr>
        <w:t>Распоряжение администрации от 29.12.2018г №185р «Об утверждении учетной политики»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Изучение указанных документов осуществлялось в целях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- правильности </w:t>
      </w:r>
      <w:bookmarkStart w:id="1" w:name="__DdeLink__293_3766317609"/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отражения учета нефинансовых активов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</w:t>
      </w:r>
      <w:bookmarkEnd w:id="1"/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Результат проверки:</w:t>
      </w:r>
    </w:p>
    <w:p>
      <w:pPr>
        <w:pStyle w:val="Normal"/>
        <w:shd w:val="clear" w:color="auto" w:fill="FFFFFF"/>
        <w:spacing w:lineRule="atLeast" w:line="375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Нарушений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 xml:space="preserve">соблюдения порядка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правильности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отражения учета нефинансовых активов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.  </w:t>
      </w: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не выявлено.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92929"/>
          <w:sz w:val="28"/>
          <w:szCs w:val="28"/>
          <w:lang w:eastAsia="ru-RU"/>
        </w:rPr>
        <w:t>Лица, ответственные за проведение контрольного мероприятия:</w:t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 xml:space="preserve">Главный </w:t>
      </w: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  <w:t>специалист                                                               Е.С.Меляева</w:t>
      </w:r>
    </w:p>
    <w:p>
      <w:pPr>
        <w:pStyle w:val="Normal"/>
        <w:shd w:val="clear" w:color="auto" w:fill="FFFFFF"/>
        <w:spacing w:lineRule="atLeast" w:line="375" w:before="0" w:after="0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92929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75" w:before="0" w:after="0"/>
        <w:jc w:val="both"/>
        <w:rPr>
          <w:rFonts w:ascii="Times New Roman" w:hAnsi="Times New Roman" w:eastAsia="Times New Roman" w:cs="Times New Roman"/>
          <w:bCs/>
          <w:color w:val="292929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75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c30f2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c30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2c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C76C-A3D5-4E8F-AF87-5D344CED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2</Pages>
  <Words>204</Words>
  <Characters>1631</Characters>
  <CharactersWithSpaces>1902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2019-12-20T06:16:00Z</dcterms:created>
  <dc:creator>Татьяна</dc:creator>
  <dc:description/>
  <dc:language>ru-RU</dc:language>
  <cp:lastModifiedBy/>
  <cp:lastPrinted>2020-01-15T11:18:23Z</cp:lastPrinted>
  <dcterms:modified xsi:type="dcterms:W3CDTF">2020-01-15T11:18:32Z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